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68" w:rsidRPr="0090038F" w:rsidRDefault="00F96D68" w:rsidP="00F96D68">
      <w:pPr>
        <w:widowControl/>
        <w:suppressAutoHyphens w:val="0"/>
        <w:spacing w:before="100" w:beforeAutospacing="1" w:after="100" w:afterAutospacing="1" w:line="360" w:lineRule="auto"/>
        <w:jc w:val="right"/>
        <w:rPr>
          <w:rFonts w:eastAsia="Times New Roman" w:cs="Times New Roman"/>
          <w:bCs/>
          <w:kern w:val="0"/>
          <w:sz w:val="22"/>
          <w:lang w:eastAsia="pl-PL" w:bidi="ar-SA"/>
        </w:rPr>
      </w:pPr>
      <w:r w:rsidRPr="0090038F">
        <w:rPr>
          <w:rFonts w:eastAsia="Times New Roman" w:cs="Times New Roman"/>
          <w:bCs/>
          <w:kern w:val="0"/>
          <w:szCs w:val="28"/>
          <w:lang w:eastAsia="pl-PL" w:bidi="ar-SA"/>
        </w:rPr>
        <w:t>Nr WIP</w:t>
      </w:r>
      <w:r w:rsidR="00D658C5">
        <w:rPr>
          <w:rFonts w:eastAsia="Times New Roman" w:cs="Times New Roman"/>
          <w:bCs/>
          <w:kern w:val="0"/>
          <w:szCs w:val="28"/>
          <w:lang w:eastAsia="pl-PL" w:bidi="ar-SA"/>
        </w:rPr>
        <w:t>-</w:t>
      </w:r>
      <w:r w:rsidRPr="0090038F">
        <w:rPr>
          <w:rFonts w:eastAsia="Times New Roman" w:cs="Times New Roman"/>
          <w:bCs/>
          <w:kern w:val="0"/>
          <w:szCs w:val="28"/>
          <w:lang w:eastAsia="pl-PL" w:bidi="ar-SA"/>
        </w:rPr>
        <w:t>JK-7</w:t>
      </w:r>
    </w:p>
    <w:p w:rsidR="00F96D68" w:rsidRPr="0090038F" w:rsidRDefault="00F96D68" w:rsidP="00F96D68">
      <w:pPr>
        <w:jc w:val="center"/>
        <w:rPr>
          <w:b/>
          <w:sz w:val="28"/>
          <w:szCs w:val="28"/>
        </w:rPr>
      </w:pPr>
      <w:r w:rsidRPr="0090038F">
        <w:rPr>
          <w:b/>
          <w:sz w:val="28"/>
          <w:szCs w:val="28"/>
        </w:rPr>
        <w:t>Instrukcja oceny bazy materialnej i dydaktycznej</w:t>
      </w:r>
    </w:p>
    <w:p w:rsidR="00F96D68" w:rsidRPr="0090038F" w:rsidRDefault="00F96D68" w:rsidP="00F96D68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90038F">
        <w:rPr>
          <w:rFonts w:eastAsia="Times New Roman" w:cs="Times New Roman"/>
          <w:b/>
          <w:bCs/>
          <w:kern w:val="0"/>
          <w:lang w:eastAsia="pl-PL" w:bidi="ar-SA"/>
        </w:rPr>
        <w:t>Cel instrukcji</w:t>
      </w:r>
    </w:p>
    <w:p w:rsidR="00F96D68" w:rsidRPr="0090038F" w:rsidRDefault="00F96D68" w:rsidP="00F96D6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Celem </w:t>
      </w:r>
      <w:r w:rsidRPr="0090038F">
        <w:rPr>
          <w:rFonts w:eastAsia="Times New Roman" w:cs="Times New Roman"/>
          <w:bCs/>
          <w:kern w:val="0"/>
          <w:lang w:eastAsia="pl-PL" w:bidi="ar-SA"/>
        </w:rPr>
        <w:t>instrukcji</w:t>
      </w:r>
      <w:r w:rsidRPr="0090038F">
        <w:rPr>
          <w:rFonts w:eastAsia="Times New Roman" w:cs="Times New Roman"/>
          <w:kern w:val="0"/>
          <w:lang w:eastAsia="pl-PL" w:bidi="ar-SA"/>
        </w:rPr>
        <w:t xml:space="preserve"> jest ujednolicenie sposobu oceny bazy materialnej i dydaktycznej na </w:t>
      </w:r>
      <w:r w:rsidRPr="0090038F">
        <w:rPr>
          <w:rFonts w:eastAsia="Times New Roman" w:cs="Times New Roman"/>
          <w:kern w:val="0"/>
          <w:sz w:val="23"/>
          <w:szCs w:val="23"/>
          <w:lang w:eastAsia="pl-PL" w:bidi="ar-SA"/>
        </w:rPr>
        <w:t>Wydziale Inżynierii Produkcji</w:t>
      </w:r>
    </w:p>
    <w:p w:rsidR="00F96D68" w:rsidRPr="0090038F" w:rsidRDefault="00F96D68" w:rsidP="00F96D68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90038F">
        <w:rPr>
          <w:rFonts w:eastAsia="Times New Roman" w:cs="Times New Roman"/>
          <w:b/>
          <w:bCs/>
          <w:kern w:val="0"/>
          <w:lang w:eastAsia="pl-PL" w:bidi="ar-SA"/>
        </w:rPr>
        <w:t>Odpowiedzialność:</w:t>
      </w:r>
    </w:p>
    <w:p w:rsidR="00F96D68" w:rsidRPr="0090038F" w:rsidRDefault="00F95DBE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</w:t>
      </w:r>
      <w:r w:rsidR="00F96D68" w:rsidRPr="0090038F">
        <w:rPr>
          <w:rFonts w:eastAsia="Times New Roman" w:cs="Times New Roman"/>
          <w:kern w:val="0"/>
          <w:lang w:eastAsia="pl-PL" w:bidi="ar-SA"/>
        </w:rPr>
        <w:t>ziekan,</w:t>
      </w:r>
    </w:p>
    <w:p w:rsidR="00F96D68" w:rsidRPr="0090038F" w:rsidRDefault="00F96D68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Wydziałowa Komisja ds. Jakości Kształcenia,</w:t>
      </w:r>
    </w:p>
    <w:p w:rsidR="00F96D68" w:rsidRPr="0090038F" w:rsidRDefault="00AE6BF8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</w:t>
      </w:r>
      <w:r w:rsidR="00F96D68" w:rsidRPr="0090038F">
        <w:rPr>
          <w:rFonts w:eastAsia="Times New Roman" w:cs="Times New Roman"/>
          <w:kern w:val="0"/>
          <w:lang w:eastAsia="pl-PL" w:bidi="ar-SA"/>
        </w:rPr>
        <w:t xml:space="preserve">rogramowa, </w:t>
      </w:r>
    </w:p>
    <w:p w:rsidR="00F96D68" w:rsidRPr="0090038F" w:rsidRDefault="00F96D68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kierownik/dyrektor jednostki, </w:t>
      </w:r>
    </w:p>
    <w:p w:rsidR="00F96D68" w:rsidRPr="0090038F" w:rsidRDefault="00F96D68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nauczyciel akademicki,</w:t>
      </w:r>
    </w:p>
    <w:p w:rsidR="00F96D68" w:rsidRPr="0090038F" w:rsidRDefault="00F96D68" w:rsidP="00F96D68">
      <w:pPr>
        <w:widowControl/>
        <w:numPr>
          <w:ilvl w:val="0"/>
          <w:numId w:val="7"/>
        </w:numPr>
        <w:tabs>
          <w:tab w:val="num" w:pos="540"/>
        </w:tabs>
        <w:suppressAutoHyphens w:val="0"/>
        <w:autoSpaceDE w:val="0"/>
        <w:autoSpaceDN w:val="0"/>
        <w:adjustRightInd w:val="0"/>
        <w:ind w:hanging="2166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student. </w:t>
      </w:r>
    </w:p>
    <w:p w:rsidR="00F96D68" w:rsidRPr="0090038F" w:rsidRDefault="00451A35" w:rsidP="00F96D68">
      <w:pPr>
        <w:widowControl/>
        <w:numPr>
          <w:ilvl w:val="0"/>
          <w:numId w:val="9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Władze w</w:t>
      </w:r>
      <w:r w:rsidR="00F96D68" w:rsidRPr="0090038F">
        <w:rPr>
          <w:rFonts w:eastAsia="Times New Roman" w:cs="Times New Roman"/>
          <w:b/>
          <w:bCs/>
          <w:kern w:val="0"/>
          <w:lang w:eastAsia="pl-PL" w:bidi="ar-SA"/>
        </w:rPr>
        <w:t>ydziału w miarę posiadanych możliwości alokują odpowiednie środki do podnoszenia jakości bazy materialnej i dydaktycznej Wydziału Inżynierii Produkcji.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spacing w:after="80"/>
        <w:ind w:left="1276" w:hanging="783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Zgodnie z przyjętą strategią </w:t>
      </w:r>
      <w:r w:rsidRPr="0090038F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Wydziału Inżynierii Produkcji </w:t>
      </w:r>
      <w:r w:rsidRPr="0090038F">
        <w:rPr>
          <w:rFonts w:eastAsia="Times New Roman" w:cs="Times New Roman"/>
          <w:kern w:val="0"/>
          <w:lang w:eastAsia="pl-PL" w:bidi="ar-SA"/>
        </w:rPr>
        <w:t>w zakresie zapewnienia bazy materialnej i dydaktycznej prowadzone są następujące działania: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spacing w:after="100" w:afterAutospacing="1"/>
        <w:ind w:hanging="322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Utrzymanie bazy lokalowej, pozwalającej na sprawną realizację procesu dydaktycznego oraz ocena bazy naukowo-dydaktycznej poprzez: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analizę warunków lokalowych jednostki,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określenie stopnia stosowania i unowocześniania technik nauczania oraz odpowiedniego do liczby studentów wyposażenia laboratoriów, pracowni i </w:t>
      </w:r>
      <w:proofErr w:type="spellStart"/>
      <w:r w:rsidRPr="0090038F">
        <w:rPr>
          <w:rFonts w:eastAsia="Times New Roman" w:cs="Times New Roman"/>
          <w:kern w:val="0"/>
          <w:lang w:eastAsia="pl-PL" w:bidi="ar-SA"/>
        </w:rPr>
        <w:t>sal</w:t>
      </w:r>
      <w:proofErr w:type="spellEnd"/>
      <w:r w:rsidRPr="0090038F">
        <w:rPr>
          <w:rFonts w:eastAsia="Times New Roman" w:cs="Times New Roman"/>
          <w:kern w:val="0"/>
          <w:lang w:eastAsia="pl-PL" w:bidi="ar-SA"/>
        </w:rPr>
        <w:t xml:space="preserve"> wykładowych,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określenie liczby i jakości aparatury audiowizualnej i innych pomocy dydaktycznych w stosunku do potrzeb jednostki, w tym urządzeń powielających materiały dydaktyczne,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spacing w:before="100" w:beforeAutospacing="1" w:after="100" w:afterAutospacing="1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określenie stopnia zinformatyzowania jednostki,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spacing w:before="100" w:beforeAutospacing="1" w:after="100" w:afterAutospacing="1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analizę możliwości korzystania z czytelni jednostki macierzystej i bibliotek kooperujących oraz dostępności księgozbiorów innych instytucji, </w:t>
      </w:r>
    </w:p>
    <w:p w:rsidR="00F96D68" w:rsidRPr="0090038F" w:rsidRDefault="00F96D68" w:rsidP="00F96D68">
      <w:pPr>
        <w:widowControl/>
        <w:numPr>
          <w:ilvl w:val="3"/>
          <w:numId w:val="8"/>
        </w:numPr>
        <w:suppressAutoHyphens w:val="0"/>
        <w:spacing w:after="100" w:afterAutospacing="1"/>
        <w:ind w:left="1701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określenie warunków pracy kadry naukowo-dydaktycznej oraz technicznej.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spacing w:after="100" w:afterAutospacing="1"/>
        <w:ind w:left="1276" w:hanging="785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Wprowadzenie odpowiednich ułatwień umożliwiające studentom niepełnosprawnym swobodne korzystanie z oferty naukowo-dydaktycznej. </w:t>
      </w:r>
    </w:p>
    <w:p w:rsidR="00F96D68" w:rsidRPr="0090038F" w:rsidRDefault="008F74FA" w:rsidP="00F96D68">
      <w:pPr>
        <w:widowControl/>
        <w:numPr>
          <w:ilvl w:val="1"/>
          <w:numId w:val="8"/>
        </w:numPr>
        <w:suppressAutoHyphens w:val="0"/>
        <w:spacing w:before="100" w:beforeAutospacing="1" w:after="80"/>
        <w:ind w:left="1275" w:hanging="782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Zapewnienie</w:t>
      </w:r>
      <w:r w:rsidR="00F96D68" w:rsidRPr="00F96D68">
        <w:rPr>
          <w:rFonts w:eastAsia="Times New Roman" w:cs="Times New Roman"/>
          <w:kern w:val="0"/>
          <w:lang w:eastAsia="pl-PL" w:bidi="ar-SA"/>
        </w:rPr>
        <w:t xml:space="preserve"> wszystkim pracownikom dostęp</w:t>
      </w:r>
      <w:r>
        <w:rPr>
          <w:rFonts w:eastAsia="Times New Roman" w:cs="Times New Roman"/>
          <w:kern w:val="0"/>
          <w:lang w:eastAsia="pl-PL" w:bidi="ar-SA"/>
        </w:rPr>
        <w:t>u</w:t>
      </w:r>
      <w:r w:rsidR="00F96D68" w:rsidRPr="0090038F">
        <w:rPr>
          <w:rFonts w:eastAsia="Times New Roman" w:cs="Times New Roman"/>
          <w:kern w:val="0"/>
          <w:lang w:eastAsia="pl-PL" w:bidi="ar-SA"/>
        </w:rPr>
        <w:t xml:space="preserve"> do odpowiednio wyposażonych w sprzęt multimedialny </w:t>
      </w:r>
      <w:proofErr w:type="spellStart"/>
      <w:r w:rsidR="00F96D68" w:rsidRPr="0090038F">
        <w:rPr>
          <w:rFonts w:eastAsia="Times New Roman" w:cs="Times New Roman"/>
          <w:kern w:val="0"/>
          <w:lang w:eastAsia="pl-PL" w:bidi="ar-SA"/>
        </w:rPr>
        <w:t>sal</w:t>
      </w:r>
      <w:proofErr w:type="spellEnd"/>
      <w:r w:rsidR="00F96D68" w:rsidRPr="0090038F">
        <w:rPr>
          <w:rFonts w:eastAsia="Times New Roman" w:cs="Times New Roman"/>
          <w:kern w:val="0"/>
          <w:lang w:eastAsia="pl-PL" w:bidi="ar-SA"/>
        </w:rPr>
        <w:t xml:space="preserve"> dydaktycznych oraz specjalistycznego oprogramowania wspierającego prowadzenie zajęć dydaktycznych i badań naukowych.</w:t>
      </w:r>
    </w:p>
    <w:p w:rsidR="00F96D68" w:rsidRPr="0090038F" w:rsidRDefault="00F96D68" w:rsidP="00F96D68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bCs/>
          <w:kern w:val="0"/>
          <w:lang w:eastAsia="pl-PL" w:bidi="ar-SA"/>
        </w:rPr>
      </w:pPr>
      <w:r w:rsidRPr="0090038F">
        <w:rPr>
          <w:rFonts w:eastAsia="Times New Roman" w:cs="Times New Roman"/>
          <w:b/>
          <w:bCs/>
          <w:kern w:val="0"/>
          <w:lang w:eastAsia="pl-PL" w:bidi="ar-SA"/>
        </w:rPr>
        <w:t>Sposoby oceny bazy materialnej i dydaktycznej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spacing w:after="80"/>
        <w:ind w:left="853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Ocena z poziomu jednostki: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ind w:left="1418" w:hanging="425"/>
        <w:jc w:val="both"/>
        <w:rPr>
          <w:strike/>
          <w:lang w:eastAsia="pl-PL" w:bidi="ar-SA"/>
        </w:rPr>
      </w:pPr>
      <w:r w:rsidRPr="0090038F">
        <w:rPr>
          <w:lang w:eastAsia="pl-PL" w:bidi="ar-SA"/>
        </w:rPr>
        <w:t xml:space="preserve">kierownik jednostki czuwa nad prawidłowym przypisaniem i wykorzystaniem aparatury/przyrządów/sprzętu specjalistycznego oraz zasobów bibliotecznych w ramach poszczególnych modułów. 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ind w:left="1418" w:hanging="567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lastRenderedPageBreak/>
        <w:t xml:space="preserve">jeśli kierownik jednostki stwierdzi braki w istnieniu bazy materialnej/dydaktycznej do prowadzenia powierzonych modułów, podejmuje środki zaradcze </w:t>
      </w:r>
      <w:r w:rsidR="006366B6">
        <w:rPr>
          <w:rFonts w:eastAsia="Times New Roman" w:cs="Times New Roman"/>
          <w:kern w:val="0"/>
          <w:lang w:eastAsia="pl-PL" w:bidi="ar-SA"/>
        </w:rPr>
        <w:t>–</w:t>
      </w:r>
      <w:r w:rsidRPr="0090038F">
        <w:rPr>
          <w:rFonts w:eastAsia="Times New Roman" w:cs="Times New Roman"/>
          <w:kern w:val="0"/>
          <w:lang w:eastAsia="pl-PL" w:bidi="ar-SA"/>
        </w:rPr>
        <w:t xml:space="preserve"> składa zapotrzebowanie do </w:t>
      </w:r>
      <w:r>
        <w:rPr>
          <w:rFonts w:eastAsia="Times New Roman" w:cs="Times New Roman"/>
          <w:kern w:val="0"/>
          <w:lang w:eastAsia="pl-PL" w:bidi="ar-SA"/>
        </w:rPr>
        <w:t>R</w:t>
      </w:r>
      <w:r w:rsidRPr="0090038F">
        <w:rPr>
          <w:rFonts w:eastAsia="Times New Roman" w:cs="Times New Roman"/>
          <w:kern w:val="0"/>
          <w:lang w:eastAsia="pl-PL" w:bidi="ar-SA"/>
        </w:rPr>
        <w:t xml:space="preserve">ektora w sprawie uzupełnienia bazy. 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ind w:left="1418" w:hanging="567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nauczyciel akademicki bądź student</w:t>
      </w:r>
      <w:r w:rsidR="00451A35">
        <w:rPr>
          <w:rFonts w:eastAsia="Times New Roman" w:cs="Times New Roman"/>
          <w:kern w:val="0"/>
          <w:lang w:eastAsia="pl-PL" w:bidi="ar-SA"/>
        </w:rPr>
        <w:t xml:space="preserve"> informuje właściwą radę p</w:t>
      </w:r>
      <w:r w:rsidRPr="0090038F">
        <w:rPr>
          <w:rFonts w:eastAsia="Times New Roman" w:cs="Times New Roman"/>
          <w:kern w:val="0"/>
          <w:lang w:eastAsia="pl-PL" w:bidi="ar-SA"/>
        </w:rPr>
        <w:t>rogramową o warunkach studiowania i uzupełnianiu zasobów bibliotecznych Biblioteki Głównej Uczelni.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ind w:left="1134" w:hanging="643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Ocena </w:t>
      </w:r>
      <w:r w:rsidR="008F74FA">
        <w:rPr>
          <w:rFonts w:eastAsia="Times New Roman" w:cs="Times New Roman"/>
          <w:kern w:val="0"/>
          <w:lang w:eastAsia="pl-PL" w:bidi="ar-SA"/>
        </w:rPr>
        <w:t>z poziomu Rady P</w:t>
      </w:r>
      <w:r w:rsidRPr="0090038F">
        <w:rPr>
          <w:rFonts w:eastAsia="Times New Roman" w:cs="Times New Roman"/>
          <w:kern w:val="0"/>
          <w:lang w:eastAsia="pl-PL" w:bidi="ar-SA"/>
        </w:rPr>
        <w:t>rogramowej:</w:t>
      </w:r>
    </w:p>
    <w:p w:rsidR="00F96D68" w:rsidRPr="0090038F" w:rsidRDefault="00AE6BF8" w:rsidP="00F96D68">
      <w:pPr>
        <w:widowControl/>
        <w:numPr>
          <w:ilvl w:val="2"/>
          <w:numId w:val="8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Rada P</w:t>
      </w:r>
      <w:r w:rsidR="00F96D68" w:rsidRPr="0090038F">
        <w:rPr>
          <w:rFonts w:eastAsia="Times New Roman" w:cs="Times New Roman"/>
          <w:kern w:val="0"/>
          <w:lang w:eastAsia="pl-PL" w:bidi="ar-SA"/>
        </w:rPr>
        <w:t>rogramowa na wniosek nauczyciela akademickiego bądź studenta, po rozpatrzeniu zasadności wniosku, składa zapotrzebowanie do Biblioteki Głównej Uczelni (gromadzenie@up.lublin.pl) o uzupełnienie księgozbioru.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ind w:left="1134" w:hanging="643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Ocena </w:t>
      </w:r>
      <w:r w:rsidR="00F95DBE">
        <w:rPr>
          <w:rFonts w:eastAsia="Times New Roman" w:cs="Times New Roman"/>
          <w:kern w:val="0"/>
          <w:lang w:eastAsia="pl-PL" w:bidi="ar-SA"/>
        </w:rPr>
        <w:t>z poziomu d</w:t>
      </w:r>
      <w:r w:rsidRPr="0090038F">
        <w:rPr>
          <w:rFonts w:eastAsia="Times New Roman" w:cs="Times New Roman"/>
          <w:kern w:val="0"/>
          <w:lang w:eastAsia="pl-PL" w:bidi="ar-SA"/>
        </w:rPr>
        <w:t>ziekana:</w:t>
      </w:r>
    </w:p>
    <w:p w:rsidR="00F96D68" w:rsidRPr="0090038F" w:rsidRDefault="00F95DBE" w:rsidP="00F96D68">
      <w:pPr>
        <w:widowControl/>
        <w:numPr>
          <w:ilvl w:val="2"/>
          <w:numId w:val="8"/>
        </w:numPr>
        <w:suppressAutoHyphens w:val="0"/>
        <w:ind w:left="1418" w:hanging="425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w ramach posiadanych środków d</w:t>
      </w:r>
      <w:r w:rsidR="00F96D68" w:rsidRPr="0090038F">
        <w:rPr>
          <w:rFonts w:eastAsia="Times New Roman" w:cs="Times New Roman"/>
          <w:kern w:val="0"/>
          <w:lang w:eastAsia="pl-PL" w:bidi="ar-SA"/>
        </w:rPr>
        <w:t>ziekan wspiera poszczególne jednostki</w:t>
      </w:r>
      <w:r w:rsidR="00F96D68">
        <w:rPr>
          <w:rFonts w:eastAsia="Times New Roman" w:cs="Times New Roman"/>
          <w:kern w:val="0"/>
          <w:lang w:eastAsia="pl-PL" w:bidi="ar-SA"/>
        </w:rPr>
        <w:t xml:space="preserve"> w doposażeniu bazy materialnej</w:t>
      </w:r>
      <w:r w:rsidR="00F96D68" w:rsidRPr="0090038F">
        <w:rPr>
          <w:rFonts w:eastAsia="Times New Roman" w:cs="Times New Roman"/>
          <w:kern w:val="0"/>
          <w:lang w:eastAsia="pl-PL" w:bidi="ar-SA"/>
        </w:rPr>
        <w:t>/dydaktycznej lub kieruje pismo do JM Rektora z prośbą o wsparcie.</w:t>
      </w:r>
    </w:p>
    <w:p w:rsidR="00F96D68" w:rsidRPr="0090038F" w:rsidRDefault="00F96D68" w:rsidP="00F96D68">
      <w:pPr>
        <w:widowControl/>
        <w:numPr>
          <w:ilvl w:val="1"/>
          <w:numId w:val="8"/>
        </w:numPr>
        <w:suppressAutoHyphens w:val="0"/>
        <w:ind w:left="1134" w:hanging="643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Ocena z poziomu </w:t>
      </w:r>
      <w:r w:rsidR="008F74FA">
        <w:t>Wydziałowej Komisji</w:t>
      </w:r>
      <w:bookmarkStart w:id="0" w:name="_GoBack"/>
      <w:bookmarkEnd w:id="0"/>
      <w:r>
        <w:t xml:space="preserve"> ds. Jakości Kształcenia</w:t>
      </w:r>
      <w:r w:rsidRPr="0090038F">
        <w:rPr>
          <w:rFonts w:eastAsia="Times New Roman" w:cs="Times New Roman"/>
          <w:kern w:val="0"/>
          <w:lang w:eastAsia="pl-PL" w:bidi="ar-SA"/>
        </w:rPr>
        <w:t>: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ind w:left="1418" w:hanging="425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>pozyskane informacje zamieszcza w rocznym raporcie o stanie bazy materialnej /dydaktycznej.</w:t>
      </w:r>
    </w:p>
    <w:p w:rsidR="00F96D68" w:rsidRPr="0090038F" w:rsidRDefault="00F96D68" w:rsidP="00F96D68">
      <w:pPr>
        <w:widowControl/>
        <w:numPr>
          <w:ilvl w:val="2"/>
          <w:numId w:val="8"/>
        </w:numPr>
        <w:suppressAutoHyphens w:val="0"/>
        <w:ind w:left="1418" w:hanging="425"/>
        <w:jc w:val="both"/>
        <w:rPr>
          <w:rFonts w:eastAsia="Times New Roman" w:cs="Times New Roman"/>
          <w:kern w:val="0"/>
          <w:lang w:eastAsia="pl-PL" w:bidi="ar-SA"/>
        </w:rPr>
      </w:pPr>
      <w:r w:rsidRPr="0090038F">
        <w:rPr>
          <w:rFonts w:eastAsia="Times New Roman" w:cs="Times New Roman"/>
          <w:kern w:val="0"/>
          <w:lang w:eastAsia="pl-PL" w:bidi="ar-SA"/>
        </w:rPr>
        <w:t xml:space="preserve">ocena powinna uwzględniać badany </w:t>
      </w:r>
      <w:r w:rsidRPr="0090038F">
        <w:rPr>
          <w:rFonts w:eastAsia="Times New Roman" w:cs="Times New Roman"/>
          <w:kern w:val="0"/>
          <w:u w:val="single"/>
          <w:lang w:eastAsia="pl-PL" w:bidi="ar-SA"/>
        </w:rPr>
        <w:t>w perspektywie 3-5 lat</w:t>
      </w:r>
      <w:r w:rsidRPr="0090038F">
        <w:rPr>
          <w:rFonts w:eastAsia="Times New Roman" w:cs="Times New Roman"/>
          <w:kern w:val="0"/>
          <w:lang w:eastAsia="pl-PL" w:bidi="ar-SA"/>
        </w:rPr>
        <w:t xml:space="preserve"> przyrost księgozbioru jednostki uzupełniany na wnios</w:t>
      </w:r>
      <w:r>
        <w:rPr>
          <w:rFonts w:eastAsia="Times New Roman" w:cs="Times New Roman"/>
          <w:kern w:val="0"/>
          <w:lang w:eastAsia="pl-PL" w:bidi="ar-SA"/>
        </w:rPr>
        <w:t>ek Rad P</w:t>
      </w:r>
      <w:r w:rsidRPr="0090038F">
        <w:rPr>
          <w:rFonts w:eastAsia="Times New Roman" w:cs="Times New Roman"/>
          <w:kern w:val="0"/>
          <w:lang w:eastAsia="pl-PL" w:bidi="ar-SA"/>
        </w:rPr>
        <w:t>rogramowych.</w:t>
      </w:r>
    </w:p>
    <w:p w:rsidR="00F96D68" w:rsidRPr="0090038F" w:rsidRDefault="00F96D68" w:rsidP="00F96D68">
      <w:pPr>
        <w:widowControl/>
        <w:suppressAutoHyphens w:val="0"/>
        <w:ind w:left="813"/>
        <w:jc w:val="both"/>
        <w:rPr>
          <w:rFonts w:eastAsia="Times New Roman" w:cs="Times New Roman"/>
          <w:kern w:val="0"/>
          <w:lang w:eastAsia="pl-PL" w:bidi="ar-SA"/>
        </w:rPr>
      </w:pPr>
    </w:p>
    <w:p w:rsidR="00F96D68" w:rsidRPr="0090038F" w:rsidRDefault="00F96D68" w:rsidP="00F96D68">
      <w:pPr>
        <w:widowControl/>
        <w:numPr>
          <w:ilvl w:val="0"/>
          <w:numId w:val="8"/>
        </w:numPr>
        <w:tabs>
          <w:tab w:val="clear" w:pos="786"/>
          <w:tab w:val="num" w:pos="595"/>
        </w:tabs>
        <w:suppressAutoHyphens w:val="0"/>
        <w:autoSpaceDE w:val="0"/>
        <w:autoSpaceDN w:val="0"/>
        <w:adjustRightInd w:val="0"/>
        <w:ind w:left="595" w:hanging="595"/>
        <w:rPr>
          <w:rFonts w:eastAsia="Times New Roman" w:cs="Times New Roman"/>
          <w:b/>
          <w:bCs/>
          <w:kern w:val="0"/>
          <w:lang w:eastAsia="pl-PL" w:bidi="ar-SA"/>
        </w:rPr>
      </w:pPr>
      <w:r w:rsidRPr="0090038F">
        <w:rPr>
          <w:rFonts w:eastAsia="Times New Roman" w:cs="Times New Roman"/>
          <w:b/>
          <w:bCs/>
          <w:kern w:val="0"/>
          <w:lang w:eastAsia="pl-PL" w:bidi="ar-SA"/>
        </w:rPr>
        <w:t xml:space="preserve">Publikacja informacji </w:t>
      </w:r>
    </w:p>
    <w:p w:rsidR="00F96D68" w:rsidRPr="0090038F" w:rsidRDefault="00F96D68" w:rsidP="00F96D68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lang w:eastAsia="pl-PL" w:bidi="ar-SA"/>
        </w:rPr>
      </w:pPr>
    </w:p>
    <w:p w:rsidR="00F96D68" w:rsidRPr="0090038F" w:rsidRDefault="00F96D68" w:rsidP="00F96D68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0038F">
        <w:rPr>
          <w:rFonts w:eastAsia="Calibri" w:cs="Times New Roman"/>
          <w:kern w:val="0"/>
          <w:lang w:eastAsia="en-US" w:bidi="ar-SA"/>
        </w:rPr>
        <w:t>Strona internetowa Wydziału Inżynierii Produkcji.</w:t>
      </w:r>
    </w:p>
    <w:p w:rsidR="00F96D68" w:rsidRPr="0090038F" w:rsidRDefault="00F96D68" w:rsidP="00F96D68">
      <w:pPr>
        <w:widowControl/>
        <w:suppressAutoHyphens w:val="0"/>
        <w:jc w:val="both"/>
        <w:rPr>
          <w:rFonts w:eastAsia="Calibri" w:cs="Times New Roman"/>
          <w:kern w:val="0"/>
          <w:lang w:eastAsia="en-US" w:bidi="ar-SA"/>
        </w:rPr>
      </w:pPr>
      <w:r w:rsidRPr="0090038F">
        <w:rPr>
          <w:rFonts w:eastAsia="Calibri" w:cs="Times New Roman"/>
          <w:kern w:val="0"/>
          <w:lang w:eastAsia="en-US" w:bidi="ar-SA"/>
        </w:rPr>
        <w:t>W formie pap</w:t>
      </w:r>
      <w:r w:rsidR="00451A35">
        <w:rPr>
          <w:rFonts w:eastAsia="Calibri" w:cs="Times New Roman"/>
          <w:kern w:val="0"/>
          <w:lang w:eastAsia="en-US" w:bidi="ar-SA"/>
        </w:rPr>
        <w:t>ierowej raport dostępny jest w d</w:t>
      </w:r>
      <w:r w:rsidRPr="0090038F">
        <w:rPr>
          <w:rFonts w:eastAsia="Calibri" w:cs="Times New Roman"/>
          <w:kern w:val="0"/>
          <w:lang w:eastAsia="en-US" w:bidi="ar-SA"/>
        </w:rPr>
        <w:t>ziekanacie Wydziału Inżynierii Produkcji.</w:t>
      </w:r>
    </w:p>
    <w:p w:rsidR="00E2576F" w:rsidRPr="00E2576F" w:rsidRDefault="00E2576F" w:rsidP="00E2576F"/>
    <w:sectPr w:rsidR="00E2576F" w:rsidRPr="00E2576F" w:rsidSect="005B1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885" w:bottom="1304" w:left="155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0F" w:rsidRDefault="008C2D0F">
      <w:r>
        <w:separator/>
      </w:r>
    </w:p>
  </w:endnote>
  <w:endnote w:type="continuationSeparator" w:id="0">
    <w:p w:rsidR="008C2D0F" w:rsidRDefault="008C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5B1EC0" w:rsidRDefault="00CC146C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eastAsia="pl-PL" w:bidi="ar-SA"/>
      </w:rPr>
      <w:drawing>
        <wp:anchor distT="0" distB="0" distL="0" distR="0" simplePos="0" relativeHeight="251662336" behindDoc="1" locked="0" layoutInCell="1" allowOverlap="1" wp14:anchorId="347ABDBD" wp14:editId="63CDD5CC">
          <wp:simplePos x="0" y="0"/>
          <wp:positionH relativeFrom="page">
            <wp:posOffset>6678930</wp:posOffset>
          </wp:positionH>
          <wp:positionV relativeFrom="page">
            <wp:posOffset>9286875</wp:posOffset>
          </wp:positionV>
          <wp:extent cx="434340" cy="1744980"/>
          <wp:effectExtent l="0" t="0" r="381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22E">
      <w:rPr>
        <w:rFonts w:ascii="Arial" w:hAnsi="Arial" w:cs="Arial"/>
        <w:color w:val="005032"/>
        <w:sz w:val="16"/>
        <w:szCs w:val="16"/>
      </w:rPr>
      <w:t xml:space="preserve">Strona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F74F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Pr="0026122E">
      <w:rPr>
        <w:rFonts w:ascii="Arial" w:hAnsi="Arial" w:cs="Arial"/>
        <w:color w:val="005032"/>
        <w:sz w:val="16"/>
        <w:szCs w:val="16"/>
      </w:rPr>
      <w:t xml:space="preserve"> z 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Pr="0026122E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8F74F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Pr="0026122E">
      <w:rPr>
        <w:rFonts w:ascii="Arial" w:hAnsi="Arial" w:cs="Arial"/>
        <w:b/>
        <w:bCs/>
        <w:color w:val="00503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C2D0F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:rsidR="006476F4" w:rsidRPr="00351194" w:rsidRDefault="00CC146C" w:rsidP="0019583D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>UNIWERSY</w:t>
    </w:r>
    <w:r w:rsidR="005B1EC0">
      <w:rPr>
        <w:rFonts w:ascii="Arial" w:hAnsi="Arial" w:cs="Arial"/>
        <w:b/>
        <w:bCs/>
        <w:color w:val="005032"/>
        <w:sz w:val="14"/>
        <w:szCs w:val="14"/>
      </w:rPr>
      <w:t xml:space="preserve">TET PRZYRODNICZY W LUBLINIE  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  WYDZIAŁ INŻYNIERII PRODUKCJI 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ul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. </w:t>
    </w:r>
    <w:proofErr w:type="spellStart"/>
    <w:r w:rsidRPr="00770EC6">
      <w:rPr>
        <w:rFonts w:ascii="Arial" w:hAnsi="Arial" w:cs="Arial"/>
        <w:color w:val="005032"/>
        <w:sz w:val="14"/>
        <w:szCs w:val="14"/>
        <w:lang w:val="en-US"/>
      </w:rPr>
      <w:t>Głęboka</w:t>
    </w:r>
    <w:proofErr w:type="spellEnd"/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28, </w:t>
    </w:r>
    <w:smartTag w:uri="urn:schemas-microsoft-com:office:smarttags" w:element="place">
      <w:smartTag w:uri="urn:schemas-microsoft-com:office:smarttags" w:element="City">
        <w:r w:rsidRPr="00770EC6">
          <w:rPr>
            <w:rFonts w:ascii="Arial" w:hAnsi="Arial" w:cs="Arial"/>
            <w:color w:val="005032"/>
            <w:sz w:val="14"/>
            <w:szCs w:val="14"/>
            <w:lang w:val="en-US"/>
          </w:rPr>
          <w:t>Lublin</w:t>
        </w:r>
      </w:smartTag>
    </w:smartTag>
    <w:r w:rsidRPr="00770EC6">
      <w:rPr>
        <w:rFonts w:ascii="Arial" w:hAnsi="Arial" w:cs="Arial"/>
        <w:color w:val="005032"/>
        <w:sz w:val="14"/>
        <w:szCs w:val="14"/>
        <w:lang w:val="en-US"/>
      </w:rPr>
      <w:t xml:space="preserve"> 20-612</w:t>
    </w:r>
  </w:p>
  <w:p w:rsidR="006476F4" w:rsidRPr="00770EC6" w:rsidRDefault="00CC146C" w:rsidP="0019583D">
    <w:pPr>
      <w:autoSpaceDE w:val="0"/>
      <w:rPr>
        <w:rFonts w:ascii="Arial" w:hAnsi="Arial" w:cs="Arial"/>
        <w:color w:val="005032"/>
        <w:sz w:val="14"/>
        <w:szCs w:val="14"/>
        <w:lang w:val="en-US"/>
      </w:rPr>
    </w:pPr>
    <w:r w:rsidRPr="00770EC6">
      <w:rPr>
        <w:rFonts w:ascii="Arial" w:hAnsi="Arial" w:cs="Arial"/>
        <w:color w:val="005032"/>
        <w:sz w:val="14"/>
        <w:szCs w:val="14"/>
        <w:lang w:val="en-US"/>
      </w:rPr>
      <w:t>tel. (+48 81) 531 96 60, 531 96 63; fax/tel. 81  531 96 69; e-mail: dziekanat.wip@up.lublin.pl</w:t>
    </w:r>
  </w:p>
  <w:p w:rsidR="006476F4" w:rsidRPr="005B1EC0" w:rsidRDefault="00CC146C" w:rsidP="005B1EC0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  000001896   NIP 712 010 37 75</w:t>
    </w:r>
    <w:r>
      <w:rPr>
        <w:noProof/>
        <w:lang w:eastAsia="pl-PL" w:bidi="ar-SA"/>
      </w:rPr>
      <w:drawing>
        <wp:anchor distT="0" distB="0" distL="0" distR="0" simplePos="0" relativeHeight="251660288" behindDoc="1" locked="0" layoutInCell="1" allowOverlap="1" wp14:anchorId="1DAFA7EA" wp14:editId="76C979AC">
          <wp:simplePos x="0" y="0"/>
          <wp:positionH relativeFrom="page">
            <wp:posOffset>6526530</wp:posOffset>
          </wp:positionH>
          <wp:positionV relativeFrom="page">
            <wp:posOffset>8945880</wp:posOffset>
          </wp:positionV>
          <wp:extent cx="434340" cy="1744980"/>
          <wp:effectExtent l="0" t="0" r="381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1744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0F" w:rsidRDefault="008C2D0F">
      <w:r>
        <w:separator/>
      </w:r>
    </w:p>
  </w:footnote>
  <w:footnote w:type="continuationSeparator" w:id="0">
    <w:p w:rsidR="008C2D0F" w:rsidRDefault="008C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C0" w:rsidRDefault="005B1E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Pr="0026122E" w:rsidRDefault="00CC146C" w:rsidP="0019583D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1312" behindDoc="0" locked="0" layoutInCell="1" allowOverlap="1" wp14:anchorId="7A28418F" wp14:editId="756811AB">
          <wp:simplePos x="0" y="0"/>
          <wp:positionH relativeFrom="column">
            <wp:posOffset>-307975</wp:posOffset>
          </wp:positionH>
          <wp:positionV relativeFrom="paragraph">
            <wp:posOffset>80645</wp:posOffset>
          </wp:positionV>
          <wp:extent cx="1028065" cy="518795"/>
          <wp:effectExtent l="0" t="0" r="635" b="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F4" w:rsidRDefault="008C2D0F" w:rsidP="0019583D">
    <w:pPr>
      <w:pStyle w:val="Nagwek"/>
      <w:jc w:val="right"/>
      <w:rPr>
        <w:rFonts w:ascii="Arial" w:hAnsi="Arial" w:cs="Arial"/>
        <w:sz w:val="18"/>
      </w:rPr>
    </w:pPr>
  </w:p>
  <w:p w:rsidR="006476F4" w:rsidRDefault="008C2D0F" w:rsidP="0019583D">
    <w:pPr>
      <w:pStyle w:val="Nagwek"/>
      <w:jc w:val="right"/>
      <w:rPr>
        <w:rFonts w:ascii="Arial" w:hAnsi="Arial" w:cs="Arial"/>
        <w:sz w:val="18"/>
      </w:rPr>
    </w:pPr>
  </w:p>
  <w:p w:rsidR="006476F4" w:rsidRPr="0026122E" w:rsidRDefault="00CC146C" w:rsidP="0019583D">
    <w:pPr>
      <w:pStyle w:val="Nagwek"/>
      <w:jc w:val="right"/>
      <w:rPr>
        <w:rFonts w:ascii="Arial" w:hAnsi="Arial" w:cs="Arial"/>
        <w:color w:val="005032"/>
        <w:sz w:val="18"/>
      </w:rPr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A8FE0A7" wp14:editId="2CAA55F0">
          <wp:simplePos x="0" y="0"/>
          <wp:positionH relativeFrom="page">
            <wp:posOffset>643255</wp:posOffset>
          </wp:positionH>
          <wp:positionV relativeFrom="page">
            <wp:posOffset>478155</wp:posOffset>
          </wp:positionV>
          <wp:extent cx="3634740" cy="69405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4740" cy="694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6F4" w:rsidRPr="0026122E" w:rsidRDefault="008C2D0F" w:rsidP="0019583D">
    <w:pPr>
      <w:pStyle w:val="Nagwek"/>
      <w:jc w:val="right"/>
      <w:rPr>
        <w:rFonts w:ascii="Arial" w:hAnsi="Arial" w:cs="Arial"/>
        <w:color w:val="005032"/>
        <w:sz w:val="18"/>
      </w:rPr>
    </w:pPr>
  </w:p>
  <w:p w:rsidR="006476F4" w:rsidRPr="0026122E" w:rsidRDefault="008C2D0F" w:rsidP="0019583D">
    <w:pPr>
      <w:pStyle w:val="Nagwek"/>
      <w:jc w:val="right"/>
      <w:rPr>
        <w:rFonts w:ascii="Arial" w:hAnsi="Arial" w:cs="Arial"/>
        <w:color w:val="005032"/>
        <w:sz w:val="22"/>
      </w:rPr>
    </w:pPr>
  </w:p>
  <w:p w:rsidR="006476F4" w:rsidRDefault="008C2D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187E"/>
    <w:multiLevelType w:val="multilevel"/>
    <w:tmpl w:val="546C043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315" w:hanging="180"/>
      </w:pPr>
      <w:rPr>
        <w:rFonts w:hint="default"/>
        <w:strike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590026D"/>
    <w:multiLevelType w:val="hybridMultilevel"/>
    <w:tmpl w:val="EEFE2616"/>
    <w:lvl w:ilvl="0" w:tplc="7AB60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5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6165A9"/>
    <w:multiLevelType w:val="multilevel"/>
    <w:tmpl w:val="50426AE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6AF45B34"/>
    <w:multiLevelType w:val="hybridMultilevel"/>
    <w:tmpl w:val="55C85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457B32"/>
    <w:multiLevelType w:val="hybridMultilevel"/>
    <w:tmpl w:val="FA228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0D"/>
    <w:rsid w:val="001D42C6"/>
    <w:rsid w:val="001E343A"/>
    <w:rsid w:val="00317035"/>
    <w:rsid w:val="00377AF8"/>
    <w:rsid w:val="003C5FE0"/>
    <w:rsid w:val="0040630D"/>
    <w:rsid w:val="00451A35"/>
    <w:rsid w:val="005051ED"/>
    <w:rsid w:val="00532B67"/>
    <w:rsid w:val="005B1EC0"/>
    <w:rsid w:val="00602B1B"/>
    <w:rsid w:val="006366B6"/>
    <w:rsid w:val="006F7F54"/>
    <w:rsid w:val="00765625"/>
    <w:rsid w:val="00796F54"/>
    <w:rsid w:val="007A19BB"/>
    <w:rsid w:val="00853090"/>
    <w:rsid w:val="008669AD"/>
    <w:rsid w:val="008C2D0F"/>
    <w:rsid w:val="008F74FA"/>
    <w:rsid w:val="009F6BE6"/>
    <w:rsid w:val="00AE6BF8"/>
    <w:rsid w:val="00BB0886"/>
    <w:rsid w:val="00CC146C"/>
    <w:rsid w:val="00D658C5"/>
    <w:rsid w:val="00D71144"/>
    <w:rsid w:val="00E00D3C"/>
    <w:rsid w:val="00E2576F"/>
    <w:rsid w:val="00E71C8F"/>
    <w:rsid w:val="00F32054"/>
    <w:rsid w:val="00F95DBE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46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C146C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CC146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C146C"/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C146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Styl1">
    <w:name w:val="Styl1"/>
    <w:basedOn w:val="Tytu"/>
    <w:link w:val="Styl1Znak"/>
    <w:qFormat/>
    <w:rsid w:val="00602B1B"/>
    <w:pPr>
      <w:widowControl/>
      <w:pBdr>
        <w:bottom w:val="single" w:sz="8" w:space="4" w:color="4F81BD"/>
      </w:pBdr>
      <w:suppressAutoHyphens w:val="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Styl1Znak">
    <w:name w:val="Styl1 Znak"/>
    <w:link w:val="Styl1"/>
    <w:rsid w:val="00602B1B"/>
    <w:rPr>
      <w:rFonts w:ascii="Times New Roman" w:eastAsia="Times New Roman" w:hAnsi="Times New Roman" w:cs="Times New Roman"/>
      <w:spacing w:val="5"/>
      <w:kern w:val="28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02B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602B1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customStyle="1" w:styleId="Default">
    <w:name w:val="Default"/>
    <w:rsid w:val="00866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F336-BEA1-4D90-8CF3-EC8ACA1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17</cp:revision>
  <dcterms:created xsi:type="dcterms:W3CDTF">2020-11-13T09:55:00Z</dcterms:created>
  <dcterms:modified xsi:type="dcterms:W3CDTF">2020-12-03T12:33:00Z</dcterms:modified>
</cp:coreProperties>
</file>